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D3C" w:rsidRDefault="00812D3C">
      <w:pPr>
        <w:pStyle w:val="ConsPlusNormal"/>
      </w:pPr>
      <w:r>
        <w:t>Источник публикации</w:t>
      </w:r>
    </w:p>
    <w:p w:rsidR="00812D3C" w:rsidRDefault="00812D3C">
      <w:pPr>
        <w:pStyle w:val="ConsPlusNormal"/>
        <w:ind w:left="540"/>
        <w:jc w:val="both"/>
      </w:pPr>
      <w:r>
        <w:t>Документ опубликован не был</w:t>
      </w:r>
    </w:p>
    <w:p w:rsidR="00812D3C" w:rsidRDefault="00812D3C">
      <w:pPr>
        <w:pStyle w:val="ConsPlusNormal"/>
      </w:pPr>
      <w:r>
        <w:t>Примечание к документу</w:t>
      </w:r>
    </w:p>
    <w:p w:rsidR="00812D3C" w:rsidRDefault="00812D3C">
      <w:pPr>
        <w:pStyle w:val="ConsPlusNormal"/>
        <w:ind w:left="540"/>
        <w:jc w:val="both"/>
        <w:outlineLvl w:val="0"/>
      </w:pPr>
    </w:p>
    <w:p w:rsidR="00812D3C" w:rsidRDefault="00812D3C">
      <w:pPr>
        <w:pStyle w:val="ConsPlusNormal"/>
      </w:pPr>
      <w:r>
        <w:t>Текст документа</w:t>
      </w:r>
    </w:p>
    <w:p w:rsidR="00812D3C" w:rsidRDefault="00812D3C">
      <w:pPr>
        <w:pStyle w:val="ConsPlusNormal"/>
        <w:ind w:firstLine="540"/>
        <w:jc w:val="both"/>
      </w:pPr>
    </w:p>
    <w:p w:rsidR="00812D3C" w:rsidRDefault="00812D3C">
      <w:pPr>
        <w:pStyle w:val="ConsPlusNormal"/>
        <w:jc w:val="center"/>
        <w:outlineLvl w:val="0"/>
        <w:rPr>
          <w:b/>
          <w:bCs/>
        </w:rPr>
      </w:pPr>
      <w:r>
        <w:rPr>
          <w:b/>
          <w:bCs/>
        </w:rPr>
        <w:t>МИНИСТЕРСТВО ОБРАЗОВАНИЯ И НАУКИ РОССИЙСКОЙ ФЕДЕРАЦИИ</w:t>
      </w:r>
    </w:p>
    <w:p w:rsidR="00812D3C" w:rsidRDefault="00812D3C">
      <w:pPr>
        <w:pStyle w:val="ConsPlusNormal"/>
        <w:jc w:val="center"/>
        <w:rPr>
          <w:b/>
          <w:bCs/>
        </w:rPr>
      </w:pPr>
    </w:p>
    <w:p w:rsidR="00812D3C" w:rsidRDefault="00812D3C">
      <w:pPr>
        <w:pStyle w:val="ConsPlusNormal"/>
        <w:jc w:val="center"/>
        <w:rPr>
          <w:b/>
          <w:bCs/>
        </w:rPr>
      </w:pPr>
      <w:r>
        <w:rPr>
          <w:b/>
          <w:bCs/>
        </w:rPr>
        <w:t>ПИСЬМО</w:t>
      </w:r>
    </w:p>
    <w:p w:rsidR="00812D3C" w:rsidRDefault="00812D3C">
      <w:pPr>
        <w:pStyle w:val="ConsPlusNormal"/>
        <w:jc w:val="center"/>
        <w:rPr>
          <w:b/>
          <w:bCs/>
        </w:rPr>
      </w:pPr>
      <w:r>
        <w:rPr>
          <w:b/>
          <w:bCs/>
        </w:rPr>
        <w:t>от 10 января 2014 г. N 08-10</w:t>
      </w:r>
    </w:p>
    <w:p w:rsidR="00812D3C" w:rsidRDefault="00812D3C">
      <w:pPr>
        <w:pStyle w:val="ConsPlusNormal"/>
        <w:ind w:firstLine="540"/>
        <w:jc w:val="both"/>
      </w:pPr>
    </w:p>
    <w:p w:rsidR="00812D3C" w:rsidRDefault="00812D3C">
      <w:pPr>
        <w:pStyle w:val="ConsPlusNormal"/>
        <w:ind w:firstLine="540"/>
        <w:jc w:val="both"/>
      </w:pPr>
      <w:r>
        <w:t>В соответствии с частью 3 статьи 5 Федерального закона от 29 декабря 2012 г. N 273-ФЗ "Об образовании в Российской Федерации" разработан и утвержден Федеральный образовательный стандарт дошкольного образования (Приказ Минобрнауки России от 17 октября 2013 г. N 1155, зарегистрирован Минюстом России 14 ноября 2013 г. N 30384).</w:t>
      </w:r>
    </w:p>
    <w:p w:rsidR="00812D3C" w:rsidRDefault="00812D3C">
      <w:pPr>
        <w:pStyle w:val="ConsPlusNormal"/>
        <w:ind w:firstLine="540"/>
        <w:jc w:val="both"/>
      </w:pPr>
      <w:r>
        <w:t>Для обеспечения введения Федерального государственного образовательного стандарта дошкольного образования (далее - ФГОС ДО) необходимо проведение ряда мероприятий по следующим направлениям:</w:t>
      </w:r>
    </w:p>
    <w:p w:rsidR="00812D3C" w:rsidRDefault="00812D3C">
      <w:pPr>
        <w:pStyle w:val="ConsPlusNormal"/>
        <w:ind w:firstLine="540"/>
        <w:jc w:val="both"/>
      </w:pPr>
      <w:r>
        <w:t>создание нормативно-правового, методического и аналитического обеспечения реализации ФГОС ДО;</w:t>
      </w:r>
    </w:p>
    <w:p w:rsidR="00812D3C" w:rsidRDefault="00812D3C">
      <w:pPr>
        <w:pStyle w:val="ConsPlusNormal"/>
        <w:ind w:firstLine="540"/>
        <w:jc w:val="both"/>
      </w:pPr>
      <w:r>
        <w:t>создание организационного обеспечения реализации ФГОС ДО;</w:t>
      </w:r>
    </w:p>
    <w:p w:rsidR="00812D3C" w:rsidRDefault="00812D3C">
      <w:pPr>
        <w:pStyle w:val="ConsPlusNormal"/>
        <w:ind w:firstLine="540"/>
        <w:jc w:val="both"/>
      </w:pPr>
      <w:r>
        <w:t>создание кадрового обеспечения введения ФГОС ДО;</w:t>
      </w:r>
    </w:p>
    <w:p w:rsidR="00812D3C" w:rsidRDefault="00812D3C">
      <w:pPr>
        <w:pStyle w:val="ConsPlusNormal"/>
        <w:ind w:firstLine="540"/>
        <w:jc w:val="both"/>
      </w:pPr>
      <w:r>
        <w:t>создание финансово-экономического обеспечения введения ФГОС ДО;</w:t>
      </w:r>
    </w:p>
    <w:p w:rsidR="00812D3C" w:rsidRDefault="00812D3C">
      <w:pPr>
        <w:pStyle w:val="ConsPlusNormal"/>
        <w:ind w:firstLine="540"/>
        <w:jc w:val="both"/>
      </w:pPr>
      <w:r>
        <w:t>создание информационного обеспечения введения ФГОС ДО.</w:t>
      </w:r>
    </w:p>
    <w:p w:rsidR="00812D3C" w:rsidRDefault="00812D3C">
      <w:pPr>
        <w:pStyle w:val="ConsPlusNormal"/>
        <w:ind w:firstLine="540"/>
        <w:jc w:val="both"/>
      </w:pPr>
      <w:r>
        <w:t>Мероприятия реализуются в соответствии со сроками, указанными в Плане действий по обеспечению введения ФГОС ДО (далее - План действий) (Приложение N 1).</w:t>
      </w:r>
    </w:p>
    <w:p w:rsidR="00812D3C" w:rsidRDefault="00812D3C">
      <w:pPr>
        <w:pStyle w:val="ConsPlusNormal"/>
        <w:ind w:firstLine="540"/>
        <w:jc w:val="both"/>
      </w:pPr>
      <w:r>
        <w:t>В субъектах Российской Федерации должны быть утверждены региональные планы (сетевые графики, дорожные карты и др.), разработанные на основе Плана действий.</w:t>
      </w:r>
    </w:p>
    <w:p w:rsidR="00812D3C" w:rsidRDefault="00812D3C">
      <w:pPr>
        <w:pStyle w:val="ConsPlusNormal"/>
        <w:ind w:firstLine="540"/>
        <w:jc w:val="both"/>
      </w:pPr>
      <w:r>
        <w:t>Региональные планы должны предусматривать мероприятия по обеспечению введения ФГОС на муниципальном и институциональном (уровень образовательного учреждения) уровнях.</w:t>
      </w:r>
    </w:p>
    <w:p w:rsidR="00812D3C" w:rsidRDefault="00812D3C">
      <w:pPr>
        <w:pStyle w:val="ConsPlusNormal"/>
        <w:ind w:firstLine="540"/>
        <w:jc w:val="both"/>
      </w:pPr>
      <w:r>
        <w:t>Для обеспечения введения ФГОС ДО на федеральном, региональном и муниципальном уровне могут быть созданы координационные органы, призванные обеспечить нормативно-правовое, организационное, кадровое, научно-методическое и информационное сопровождение введения ФГОС ДО.</w:t>
      </w:r>
    </w:p>
    <w:p w:rsidR="00812D3C" w:rsidRDefault="00812D3C">
      <w:pPr>
        <w:pStyle w:val="ConsPlusNormal"/>
        <w:ind w:firstLine="540"/>
        <w:jc w:val="both"/>
      </w:pPr>
      <w:r>
        <w:t>Координационные органы соответствующего уровня создаются в соответствии с действующим законодательством Российской Федерации по решению федерального, региональных и муниципальных органов, осуществляющих управление в сфере образования.</w:t>
      </w:r>
    </w:p>
    <w:p w:rsidR="00812D3C" w:rsidRDefault="00812D3C">
      <w:pPr>
        <w:pStyle w:val="ConsPlusNormal"/>
        <w:ind w:firstLine="540"/>
        <w:jc w:val="both"/>
      </w:pPr>
      <w:r>
        <w:t>Функции координационного органа (в случае его создания) при реализации мероприятий по обеспечению введения ФГОС ДО определяются соответствующим органом, осуществляющим управление в сфере образования.</w:t>
      </w:r>
    </w:p>
    <w:p w:rsidR="00812D3C" w:rsidRDefault="00812D3C">
      <w:pPr>
        <w:pStyle w:val="ConsPlusNormal"/>
        <w:ind w:firstLine="540"/>
        <w:jc w:val="both"/>
      </w:pPr>
      <w:r>
        <w:t>Департаментом государственной политики в сфере общего образования Минобрнауки (далее - Департамент) в рамках Координационного совета по общему образованию создается Координационная группа по введению ФГОС ДО.</w:t>
      </w:r>
    </w:p>
    <w:p w:rsidR="00812D3C" w:rsidRDefault="00812D3C">
      <w:pPr>
        <w:pStyle w:val="ConsPlusNormal"/>
        <w:ind w:firstLine="540"/>
        <w:jc w:val="both"/>
      </w:pPr>
      <w:r>
        <w:t>Прошу руководителей органов государственной власти субъектов Российской Федерации, осуществляющих государственное управление в сфере образования (по списку Приложения N 2), до 20 января 2014 г. направить предложения по включению представителя для включения в Координационную группу по введению ФГОС ДО (должность не ниже начальника отдела) (наименование субъекта Российской Федерации, Ф.И.О., должность, место работы, номер телефона, адрес электронной почты) в адрес Департамента и по электронной почте: vaytyuhovskaya-ov@mon.gov.ru (Вайтюховская Олеся Витальевна, тел. 499-237-31-01).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right"/>
      </w:pPr>
      <w:r>
        <w:t>И.о. директора Департамента</w:t>
      </w:r>
    </w:p>
    <w:p w:rsidR="00812D3C" w:rsidRDefault="00812D3C">
      <w:pPr>
        <w:pStyle w:val="ConsPlusNormal"/>
        <w:jc w:val="right"/>
      </w:pPr>
      <w:r>
        <w:t>государственной политики</w:t>
      </w:r>
    </w:p>
    <w:p w:rsidR="00812D3C" w:rsidRDefault="00812D3C">
      <w:pPr>
        <w:pStyle w:val="ConsPlusNormal"/>
        <w:jc w:val="right"/>
      </w:pPr>
      <w:r>
        <w:t>в сфере общего образования</w:t>
      </w:r>
    </w:p>
    <w:p w:rsidR="00812D3C" w:rsidRDefault="00812D3C">
      <w:pPr>
        <w:pStyle w:val="ConsPlusNormal"/>
        <w:jc w:val="right"/>
      </w:pPr>
      <w:r>
        <w:t>Ю.В.СМИРНОВА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right"/>
        <w:outlineLvl w:val="0"/>
      </w:pPr>
      <w:r>
        <w:t>Приложение N 1</w:t>
      </w:r>
    </w:p>
    <w:p w:rsidR="00812D3C" w:rsidRDefault="00812D3C">
      <w:pPr>
        <w:pStyle w:val="ConsPlusNormal"/>
        <w:jc w:val="right"/>
      </w:pPr>
    </w:p>
    <w:p w:rsidR="00812D3C" w:rsidRDefault="00812D3C">
      <w:pPr>
        <w:pStyle w:val="ConsPlusNormal"/>
        <w:jc w:val="right"/>
      </w:pPr>
      <w:r>
        <w:t>Утверждаю</w:t>
      </w:r>
    </w:p>
    <w:p w:rsidR="00812D3C" w:rsidRDefault="00812D3C">
      <w:pPr>
        <w:pStyle w:val="ConsPlusNormal"/>
        <w:jc w:val="right"/>
      </w:pPr>
      <w:r>
        <w:t>Первый заместитель Министра</w:t>
      </w:r>
    </w:p>
    <w:p w:rsidR="00812D3C" w:rsidRDefault="00812D3C">
      <w:pPr>
        <w:pStyle w:val="ConsPlusNormal"/>
        <w:jc w:val="right"/>
      </w:pPr>
      <w:r>
        <w:t>образования и науки</w:t>
      </w:r>
    </w:p>
    <w:p w:rsidR="00812D3C" w:rsidRDefault="00812D3C">
      <w:pPr>
        <w:pStyle w:val="ConsPlusNormal"/>
        <w:jc w:val="right"/>
      </w:pPr>
      <w:r>
        <w:t>Российской Федерации</w:t>
      </w:r>
    </w:p>
    <w:p w:rsidR="00812D3C" w:rsidRDefault="00812D3C">
      <w:pPr>
        <w:pStyle w:val="ConsPlusNormal"/>
        <w:jc w:val="right"/>
      </w:pPr>
      <w:r>
        <w:t>Н.В.ТРЕТЬЯК</w:t>
      </w:r>
    </w:p>
    <w:p w:rsidR="00812D3C" w:rsidRDefault="00812D3C">
      <w:pPr>
        <w:pStyle w:val="ConsPlusNormal"/>
        <w:jc w:val="right"/>
      </w:pPr>
      <w:r>
        <w:t>31 декабря 2013 года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center"/>
      </w:pPr>
      <w:bookmarkStart w:id="0" w:name="Par45"/>
      <w:bookmarkEnd w:id="0"/>
      <w:r>
        <w:t>ПЛАН</w:t>
      </w:r>
    </w:p>
    <w:p w:rsidR="00812D3C" w:rsidRDefault="00812D3C">
      <w:pPr>
        <w:pStyle w:val="ConsPlusNormal"/>
        <w:jc w:val="center"/>
      </w:pPr>
      <w:r>
        <w:t>ДЕЙСТВИЙ ПО ОБЕСПЕЧЕНИЮ ВВЕДЕНИЯ ФЕДЕРАЛЬНОГО</w:t>
      </w:r>
    </w:p>
    <w:p w:rsidR="00812D3C" w:rsidRDefault="00812D3C">
      <w:pPr>
        <w:pStyle w:val="ConsPlusNormal"/>
        <w:jc w:val="center"/>
      </w:pPr>
      <w:r>
        <w:t>ГОСУДАРСТВЕННОГО ОБРАЗОВАТЕЛЬНОГО СТАНДАРТА</w:t>
      </w:r>
    </w:p>
    <w:p w:rsidR="00812D3C" w:rsidRDefault="00812D3C">
      <w:pPr>
        <w:pStyle w:val="ConsPlusNormal"/>
        <w:jc w:val="center"/>
      </w:pPr>
      <w:r>
        <w:t>ДОШКОЛЬНОГО ОБРАЗОВАНИЯ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ind w:firstLine="540"/>
        <w:jc w:val="both"/>
      </w:pPr>
      <w:r>
        <w:t>Для обеспечения введения Федерального государственного образовательного стандарта дошкольного образования (далее - ФГОС ДО) необходимо проведение ряда мероприятий по следующим направлениям:</w:t>
      </w:r>
    </w:p>
    <w:p w:rsidR="00812D3C" w:rsidRDefault="00812D3C">
      <w:pPr>
        <w:pStyle w:val="ConsPlusNormal"/>
        <w:ind w:firstLine="540"/>
        <w:jc w:val="both"/>
      </w:pPr>
      <w:r>
        <w:t>создание нормативно-правового, методического и аналитического обеспечения реализации ФГОС ДО;</w:t>
      </w:r>
    </w:p>
    <w:p w:rsidR="00812D3C" w:rsidRDefault="00812D3C">
      <w:pPr>
        <w:pStyle w:val="ConsPlusNormal"/>
        <w:ind w:firstLine="540"/>
        <w:jc w:val="both"/>
      </w:pPr>
      <w:r>
        <w:t>создание организационного обеспечения реализации ФГОС ДО;</w:t>
      </w:r>
    </w:p>
    <w:p w:rsidR="00812D3C" w:rsidRDefault="00812D3C">
      <w:pPr>
        <w:pStyle w:val="ConsPlusNormal"/>
        <w:ind w:firstLine="540"/>
        <w:jc w:val="both"/>
      </w:pPr>
      <w:r>
        <w:t>создание кадрового обеспечения введения ФГОС ДО;</w:t>
      </w:r>
    </w:p>
    <w:p w:rsidR="00812D3C" w:rsidRDefault="00812D3C">
      <w:pPr>
        <w:pStyle w:val="ConsPlusNormal"/>
        <w:ind w:firstLine="540"/>
        <w:jc w:val="both"/>
      </w:pPr>
      <w:r>
        <w:t>создание финансово-экономического обеспечения введения ФГОС ДО;</w:t>
      </w:r>
    </w:p>
    <w:p w:rsidR="00812D3C" w:rsidRDefault="00812D3C">
      <w:pPr>
        <w:pStyle w:val="ConsPlusNormal"/>
        <w:ind w:firstLine="540"/>
        <w:jc w:val="both"/>
      </w:pPr>
      <w:r>
        <w:t>создание информационного обеспечения введения ФГОС ДО.</w:t>
      </w:r>
    </w:p>
    <w:p w:rsidR="00812D3C" w:rsidRDefault="00812D3C">
      <w:pPr>
        <w:pStyle w:val="ConsPlusNormal"/>
        <w:ind w:firstLine="540"/>
        <w:jc w:val="both"/>
        <w:sectPr w:rsidR="00812D3C">
          <w:headerReference w:type="default" r:id="rId6"/>
          <w:footerReference w:type="default" r:id="rId7"/>
          <w:pgSz w:w="11906" w:h="16838"/>
          <w:pgMar w:top="1440" w:right="566" w:bottom="1440" w:left="1133" w:header="0" w:footer="0" w:gutter="0"/>
          <w:cols w:space="720"/>
          <w:noEndnote/>
        </w:sectPr>
      </w:pPr>
    </w:p>
    <w:p w:rsidR="00812D3C" w:rsidRDefault="00812D3C">
      <w:pPr>
        <w:pStyle w:val="ConsPlusNormal"/>
        <w:jc w:val="both"/>
      </w:pPr>
    </w:p>
    <w:tbl>
      <w:tblPr>
        <w:tblW w:w="0" w:type="auto"/>
        <w:tblCellSpacing w:w="5" w:type="nil"/>
        <w:tblInd w:w="75" w:type="dxa"/>
        <w:tblLayout w:type="fixed"/>
        <w:tblCellMar>
          <w:left w:w="75" w:type="dxa"/>
          <w:right w:w="75" w:type="dxa"/>
        </w:tblCellMar>
        <w:tblLook w:val="0000"/>
      </w:tblPr>
      <w:tblGrid>
        <w:gridCol w:w="602"/>
        <w:gridCol w:w="2578"/>
        <w:gridCol w:w="1297"/>
        <w:gridCol w:w="2177"/>
        <w:gridCol w:w="1928"/>
        <w:gridCol w:w="2154"/>
        <w:gridCol w:w="2721"/>
      </w:tblGrid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N</w:t>
            </w:r>
          </w:p>
        </w:tc>
        <w:tc>
          <w:tcPr>
            <w:tcW w:w="257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Направление мероприятий</w:t>
            </w:r>
          </w:p>
        </w:tc>
        <w:tc>
          <w:tcPr>
            <w:tcW w:w="129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Сроки</w:t>
            </w:r>
          </w:p>
        </w:tc>
        <w:tc>
          <w:tcPr>
            <w:tcW w:w="898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Ожидаемые результаты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both"/>
            </w:pPr>
          </w:p>
        </w:tc>
        <w:tc>
          <w:tcPr>
            <w:tcW w:w="257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both"/>
            </w:pPr>
          </w:p>
        </w:tc>
        <w:tc>
          <w:tcPr>
            <w:tcW w:w="129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both"/>
            </w:pP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Федеральный уровень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Региональный уровень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Уровень учредителя образовательной организации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</w:pPr>
            <w:r w:rsidRPr="00812D3C">
              <w:t>Институциональный уровень (уровень образовательной организации)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  <w:outlineLvl w:val="1"/>
            </w:pPr>
            <w:r w:rsidRPr="00812D3C">
              <w:t>1. Нормативно-правовое, методическое и аналитическое обеспечение реализации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1.1.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нормативно-правовых актов, обеспечивающих введение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Декабрь 2013 - май 2014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и утверждение: порядка приема на обучение по образовательным программам дошкольного образования; примерной формы договора на обучение по образовательным программам дошкольного образования, плана действий по введению ФГОС ДО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и утверждение нормативно-правовых актов субъектов Российской Федерации, обеспечивающих введение ФГОС ДО, включая план-график (сетевой график) введения ФГОС ДО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и утверждение нормативно-правовых актов, обеспечивающих введение ФГОС ДО, включая план-график (сетевой график) введения ФГОС ДО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и утверждение плана-графика введения ФГОС ДО образовательной организации.</w:t>
            </w:r>
          </w:p>
          <w:p w:rsidR="00812D3C" w:rsidRPr="00812D3C" w:rsidRDefault="00812D3C">
            <w:pPr>
              <w:pStyle w:val="ConsPlusNormal"/>
            </w:pPr>
            <w:r w:rsidRPr="00812D3C">
              <w:t>Приведение локальных актов образовательной организации в соответствие с ФГОС дошкольного образования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1.2.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Проведение аналитических работ по вопросам оценки стартовых условий введения ФГОС ДО, требований к качеству услуг дошкольного образования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Февраль 2014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Аналитические материалы о готовности воспитателей дошкольных организаций к введению ФГОС дошкольного образования; аналитические материалы о требованиях к качеству услуг дошкольного </w:t>
            </w:r>
            <w:r w:rsidRPr="00812D3C">
              <w:lastRenderedPageBreak/>
              <w:t>образования со стороны воспитателей и родителей; рекомендации к минимальному наполнению игровой деятельностью образовательного процесса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Обобщение материалов, полученных от учредителей ДОО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Сбор информации по вопросам опроса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Участие в опросах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1.3.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письма Минобрнауки России с разъяснениями по отдельным вопросам введения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Февраль 2014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Письмо Минобрнауки России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Участие членов координационной группы в разработке методического письма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Проведение разъяснительной работы, организация ознакомления с письмом Минобрнауки России ДОО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Использование письма Минобрнауки России в практической работе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1.4.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разработке на основе ФГОС ДО основной образовательной программы дошкольного образования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Февраль - июнь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составлению основной образовательной программы дошкольного образования на основе ФГОС дошкольного образования и примерной ООП ДО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совещаний и семинаров с учредителями и руководителями дошкольных образовательных организаций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Доведение методических рекомендаций до дошкольных образовательных организаций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Использование методических рекомендаций в практической деятельности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1.5.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Мониторинг условий реализации ФГОС ДО в субъектах Российской Федерации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Май 2014 г. - декабрь 2016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инструментария и программы мониторинга.</w:t>
            </w:r>
          </w:p>
          <w:p w:rsidR="00812D3C" w:rsidRPr="00812D3C" w:rsidRDefault="00812D3C">
            <w:pPr>
              <w:pStyle w:val="ConsPlusNormal"/>
            </w:pPr>
            <w:r w:rsidRPr="00812D3C">
              <w:t>Проведение мониторинга (1 раз в полугодие).</w:t>
            </w:r>
          </w:p>
          <w:p w:rsidR="00812D3C" w:rsidRPr="00812D3C" w:rsidRDefault="00812D3C">
            <w:pPr>
              <w:pStyle w:val="ConsPlusNormal"/>
            </w:pPr>
            <w:r w:rsidRPr="00812D3C">
              <w:t xml:space="preserve">Аналитические материалы по </w:t>
            </w:r>
            <w:r w:rsidRPr="00812D3C">
              <w:lastRenderedPageBreak/>
              <w:t>результатам мониторинга условий реализации ФГОС дошкольного образования в субъектах Российской Федерации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Сбор материалов для мониторинга и направление в Минобрнауки России.</w:t>
            </w:r>
          </w:p>
          <w:p w:rsidR="00812D3C" w:rsidRPr="00812D3C" w:rsidRDefault="00812D3C">
            <w:pPr>
              <w:pStyle w:val="ConsPlusNormal"/>
            </w:pPr>
            <w:r w:rsidRPr="00812D3C">
              <w:t>Региональные программы, планы по созданию условий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Муниципальные программы развития дошкольного образования с учетом результатов мониторинга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Создание условий реализации ФГОС дошкольного образования в субъектах Российской Федерации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1.6.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о базовом уровне оснащенности средствами обучения и воспитания для организации развивающей предметно-пространственной среды в соответствии с требованиями ФГОС дошкольного образования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Ноябрь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о базовом уровне оснащенности средствами обучения и воспитания для организации развивающей предметно-пространственной среды в соответствии с требованиями ФГОС дошкольного образования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Апробация методических рекомендаций в пилотных площадках.</w:t>
            </w:r>
          </w:p>
          <w:p w:rsidR="00812D3C" w:rsidRPr="00812D3C" w:rsidRDefault="00812D3C">
            <w:pPr>
              <w:pStyle w:val="ConsPlusNormal"/>
            </w:pPr>
            <w:r w:rsidRPr="00812D3C">
              <w:t>Учет методических рекомендаций при формировании регионального бюджета на очередной финансовый год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Учет методических рекомендаций при оснащении образовательных организаций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Учет методических рекомендаций при разработке основной образовательной программы дошкольного образования образовательной организации, закупок для организации развивающей предметно-пространственной среды.</w:t>
            </w:r>
          </w:p>
          <w:p w:rsidR="00812D3C" w:rsidRPr="00812D3C" w:rsidRDefault="00812D3C">
            <w:pPr>
              <w:pStyle w:val="ConsPlusNormal"/>
            </w:pPr>
            <w:r w:rsidRPr="00812D3C">
              <w:t>Корректировка разделов основной образовательной программы дошкольного образования с учетом базовой оснащенности развивающей предметно-пространственной среды ДОО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1.7.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Ведение федерального реестра примерных образовательных программ, используемых в образовательном процессе в соответствии с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Постоянно, после утверждения приказа Минобрнауки России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Федеральный реестр примерных образовательных программ, используемых в образовательном процессе в соответствии с ФГОС дошкольного образования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Участие в экспертизе примерных образовательных программ дошкольного образования (в части учета региональных, этнокультурных особенностей)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Организация обсуждения вариативных примерных образовательных программ ДО в части учета региональных, этнокультурных особенностей и направление предложений в </w:t>
            </w:r>
            <w:r w:rsidRPr="00812D3C">
              <w:lastRenderedPageBreak/>
              <w:t>региональную рабочую группу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Использование примерных образовательных программ, находящихся в федеральном реестре, при разработке основных образовательных программ дошкольного образования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1.8.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методических рекомендаций по развитию негосударственного сектора в дошкольном образовании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Октябрь - ноябрь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развитию негосударственного сектора в дошкольном образовании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Корректировка нормативно-правовой и методической базы субъектов РФ по вопросам развития негосударственного сектора в дошкольном образовании.</w:t>
            </w:r>
          </w:p>
          <w:p w:rsidR="00812D3C" w:rsidRPr="00812D3C" w:rsidRDefault="00812D3C">
            <w:pPr>
              <w:pStyle w:val="ConsPlusNormal"/>
            </w:pPr>
            <w:r w:rsidRPr="00812D3C">
              <w:t>Организация совещаний с главами муниципальных образований по вопросам развития негосударственного сектора дошкольного образования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Методическое сопровождение негосударственных организаций и индивидуальных предпринимателей, реализующих программы дошкольного образования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  <w:outlineLvl w:val="1"/>
            </w:pPr>
            <w:r w:rsidRPr="00812D3C">
              <w:t>2. Организационное обеспечение реализации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2.1.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Создание координационной группы, обеспечивающей координацию действий органов управления образованием субъектов РФ по исполнению плана действий по введению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Февраль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Создание координационной группы по дошкольному образованию при Минобрнауки России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Участие в работе Координационной группы Минобрнауки России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Создание рабочей группы муниципального образования по введению ФГОС ДО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Создание рабочей группы ДОО по введению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2.2.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Создание региональных рабочих групп по внедрению ФГОС дошкольного </w:t>
            </w:r>
            <w:r w:rsidRPr="00812D3C">
              <w:lastRenderedPageBreak/>
              <w:t>образования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Февраль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Региональные группы по внедрению ФГОС дошкольного </w:t>
            </w:r>
            <w:r w:rsidRPr="00812D3C">
              <w:lastRenderedPageBreak/>
              <w:t>образования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 xml:space="preserve">Направление предложений по составу в региональную </w:t>
            </w:r>
            <w:r w:rsidRPr="00812D3C">
              <w:lastRenderedPageBreak/>
              <w:t>рабочую группу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Направление предложений по составу в региональную рабочую группу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2.3.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Сопровождение деятельности "Пилотных площадок" в субъектах РФ по введению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Январь 2014 г. - декабрь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Перечень "Пилотных площадок", организация "горячей линии" по введению ФГОС ДО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Определение перечня "Пилотных площадок" в регионе.</w:t>
            </w:r>
          </w:p>
          <w:p w:rsidR="00812D3C" w:rsidRPr="00812D3C" w:rsidRDefault="00812D3C">
            <w:pPr>
              <w:pStyle w:val="ConsPlusNormal"/>
            </w:pPr>
            <w:r w:rsidRPr="00812D3C">
              <w:t>Координация и организационное сопровождение деятельности "Пилотных площадок" в субъектах Российской Федерации по введению ФГОС ДО по вопросам региональной компетенции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Определение перечня "Пилотных площадок" в муниципальном образовании.</w:t>
            </w:r>
          </w:p>
          <w:p w:rsidR="00812D3C" w:rsidRPr="00812D3C" w:rsidRDefault="00812D3C">
            <w:pPr>
              <w:pStyle w:val="ConsPlusNormal"/>
            </w:pPr>
            <w:r w:rsidRPr="00812D3C">
              <w:t>Координация и организационное сопровождение деятельности "Пилотных площадок" в субъектах РФ по введению ФГОС ДО по вопросам компетенции учредителя образовательной организации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Создание системы методической работы, обеспечивающей сопровождение введения ФГОС ДО.</w:t>
            </w:r>
          </w:p>
          <w:p w:rsidR="00812D3C" w:rsidRPr="00812D3C" w:rsidRDefault="00812D3C">
            <w:pPr>
              <w:pStyle w:val="ConsPlusNormal"/>
            </w:pPr>
            <w:r w:rsidRPr="00812D3C">
              <w:t>Создание условий для участия педагогических работников в учебно-методических объединениях системы образования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2.4.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получения методической, психолого-педагогической, диагностической и консультативной помощи родителям детей, получающих дошкольное образование в форме семейного образования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В течение 2014 года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организации и функционированию консультативно-методических центров (организационные, экономические, функциональные вопросы)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получения методической, психолого-педагогической, диагностической и консультативной помощи родителям детей, получающих дошкольное образование в форме семейного образования, в том числе в дошкольных образовательных организациях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работы пунктов получения методической, психолого-педагогической, диагностической и консультативной помощи родителям детей, получающих дошкольное образование в форме семейного образования, с учетом методических рекомендаций по организации и функционированию консультативно-методических центров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  <w:outlineLvl w:val="1"/>
            </w:pPr>
            <w:r w:rsidRPr="00812D3C">
              <w:t>3. Кадровое обеспечение введения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3.1.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Обеспечение поэтапного повышения квалификации руководителей и педагогов ДОО по вопросам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Июль 2014 - декабрь 2016 гг.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программ и учебно-методических комплектов повышения квалификации для руководящих и педагогических работников дошкольного образования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План-график повышения квалификации для руководящих и педагогических работников дошкольного образования на уровне субъекта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План-график повышения квалификации для руководящих и педагогических работников дошкольного образования на уровне учредителя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Участие руководящих и педагогических работников дошкольного образования для прохождения курсов повышения квалификации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3.2.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методических рекомендаций по проведению аттестации педагогических работников дошкольных организаций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Июль 2015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проведению аттестации педагогических работников дошкольных организаций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проведения аттестации педагогических работников в соответствии с методическими рекомендациями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семинаров по подготовке к аттестации педагогических работников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3.3.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деятельности стажировочных площадок для подготовки тьюторов по сопровождению реализации ФГОС ДО в субъектах Российской Федерации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2014 - 2016 гг.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Методическое обеспечение стажировочных площадок по введению ФГОС ДО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Координация деятельности стажировочных площадок для подготовки тьюторов по сопровождению реализации ФГОС ДО в субъектах Российской Федерации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3.4.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Разработка предложений по изменению ФГОС СПО и ВПО по направлениям подготовки: педагогическое образование, психолого-педагогическое </w:t>
            </w:r>
            <w:r w:rsidRPr="00812D3C">
              <w:lastRenderedPageBreak/>
              <w:t>образование, специальное (дефектологическое) образование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Ноябрь 2015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Изменения ФГОС СПО и ВПО по направлениям подготовки: педагогическое образование, психолого-педагогическое </w:t>
            </w:r>
            <w:r w:rsidRPr="00812D3C">
              <w:lastRenderedPageBreak/>
              <w:t>образование, специальное (дефектологическое) образование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Привлечение молодых специалистов для работы в ДОО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Сопровождение молодых специалистов по вопросам реализации ФГОС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Определение наставников для молодых специалистов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  <w:outlineLvl w:val="1"/>
            </w:pPr>
            <w:r w:rsidRPr="00812D3C">
              <w:lastRenderedPageBreak/>
              <w:t>4. Финансово-экономическое обеспечение введения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4.1.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методических рекомендаций по реализации полномочий субъектов РФ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Октябрь 2013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реализации полномочий субъектов РФ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Учет методических рекомендаций при формировании региональных бюджетов на очередной финансовый год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Учет методических рекомендаций при определении размера родительской платы и затрат на реализацию муниципальных полномочий в области дошкольного образования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Эффективное планирование расходов средств учредителя и субъекта РФ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4.2.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Мониторинг финансового обеспечения реализации прав граждан на получение общедоступного и бесплатного дошкольного образования в условиях введения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Апрель 2014 г. - Апрель 2015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Аналитические материалы по результатам мониторинга финансового обеспечения реализации прав граждан на получение общедоступного и бесплатного дошкольного образования в условиях введения ФГОС дошкольного образования.</w:t>
            </w:r>
          </w:p>
          <w:p w:rsidR="00812D3C" w:rsidRPr="00812D3C" w:rsidRDefault="00812D3C">
            <w:pPr>
              <w:pStyle w:val="ConsPlusNormal"/>
            </w:pPr>
            <w:r w:rsidRPr="00812D3C">
              <w:t xml:space="preserve">Доработка методических рекомендаций по </w:t>
            </w:r>
            <w:r w:rsidRPr="00812D3C">
              <w:lastRenderedPageBreak/>
              <w:t>реализации полномочий субъектов РФ по финансовому обеспечению реализации прав граждан на получение общедоступного и бесплатного дошкольного образования по итогам мониторинга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 xml:space="preserve">Подготовка бюджетных проектировок на очередной бюджетный год с учетом доработанных методических рекомендаций по реализации полномочий субъектов РФ по финансовому обеспечению реализации прав граждан на получение общедоступного и бесплатного </w:t>
            </w:r>
            <w:r w:rsidRPr="00812D3C">
              <w:lastRenderedPageBreak/>
              <w:t>дошкольного образования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Нормативно-правовой акт, утверждающий значение финансового норматива на содержание имущества, создание условий для присмотра и ухода и организации получения общедоступного и бесплатного дошкольного образования.</w:t>
            </w:r>
          </w:p>
          <w:p w:rsidR="00812D3C" w:rsidRPr="00812D3C" w:rsidRDefault="00812D3C">
            <w:pPr>
              <w:pStyle w:val="ConsPlusNormal"/>
            </w:pPr>
            <w:r w:rsidRPr="00812D3C">
              <w:t xml:space="preserve">Подготовка государственных (муниципальных) </w:t>
            </w:r>
            <w:r w:rsidRPr="00812D3C">
              <w:lastRenderedPageBreak/>
              <w:t>заданий с учетом доработанных методических рекомендаций по реализации полномочий субъектов РФ по финансовому обеспечению реализации прав граждан на получение общедоступного и бесплатного дошкольного образования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Корректировка и выполнение государственных (муниципальных) заданий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4.3.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Разработка методических рекомендаций по оказанию платных дополнительных образовательных услуг в организациях, осуществляющих образовательную деятельность по реализации основных общеобразовательных программ дошкольного образования в условиях введения ФГОС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Июль 2014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Методические рекомендации по оказанию платных дополнительных образовательных услуг в организациях, осуществляющих образовательную деятельность по реализации основных общеобразовательных программ дошкольного образования в условиях введения ФГОС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Учет методических рекомендаций при планировании деятельности по надзору за исполнением законодательства в сфере образования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Организация предоставления дополнительных образовательных услуг организациями, реализующими программы дошкольного образования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Получение лицензии на реализацию дополнительных образовательных программ и предоставление дополнительных образовательных услуг организациями, реализующими программы дошкольного образования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134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  <w:jc w:val="center"/>
              <w:outlineLvl w:val="1"/>
            </w:pPr>
            <w:r w:rsidRPr="00812D3C">
              <w:t>5. Информационное обеспечение введения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5.1.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Научно-практические конференции, педагогические чтения, </w:t>
            </w:r>
            <w:r w:rsidRPr="00812D3C">
              <w:lastRenderedPageBreak/>
              <w:t>семинары по вопросам введения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2014 - 2016 гг.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 xml:space="preserve">Проведение всероссийских конференций, </w:t>
            </w:r>
            <w:r w:rsidRPr="00812D3C">
              <w:lastRenderedPageBreak/>
              <w:t>межрегиональных семинаров и вебинаров, "круглых столов" по вопросам введения ФГОС ДО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 xml:space="preserve">Проведение семинаров и конференций по </w:t>
            </w:r>
            <w:r w:rsidRPr="00812D3C">
              <w:lastRenderedPageBreak/>
              <w:t>вопросам введения ФГОС ДО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 xml:space="preserve">Проведение семинаров и конференций по </w:t>
            </w:r>
            <w:r w:rsidRPr="00812D3C">
              <w:lastRenderedPageBreak/>
              <w:t>вопросам введения ФГОС ДО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 xml:space="preserve">Участие в семинарах и конференциях по вопросам введения ФГОС </w:t>
            </w:r>
            <w:r w:rsidRPr="00812D3C">
              <w:lastRenderedPageBreak/>
              <w:t>ДО.</w:t>
            </w:r>
          </w:p>
          <w:p w:rsidR="00812D3C" w:rsidRPr="00812D3C" w:rsidRDefault="00812D3C">
            <w:pPr>
              <w:pStyle w:val="ConsPlusNormal"/>
            </w:pPr>
            <w:r w:rsidRPr="00812D3C">
              <w:t>Проведение педагогических советов и др. мероприятий в ДОО по реализации ФГОС ДО</w:t>
            </w:r>
          </w:p>
        </w:tc>
      </w:tr>
      <w:tr w:rsidR="00812D3C" w:rsidRPr="00812D3C">
        <w:tblPrEx>
          <w:tblCellMar>
            <w:top w:w="0" w:type="dxa"/>
            <w:bottom w:w="0" w:type="dxa"/>
          </w:tblCellMar>
        </w:tblPrEx>
        <w:trPr>
          <w:tblCellSpacing w:w="5" w:type="nil"/>
        </w:trPr>
        <w:tc>
          <w:tcPr>
            <w:tcW w:w="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lastRenderedPageBreak/>
              <w:t>5.2.</w:t>
            </w:r>
          </w:p>
        </w:tc>
        <w:tc>
          <w:tcPr>
            <w:tcW w:w="2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Информационное сопровождение в СМИ о ходе реализации ФГОС ДО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Сентябрь 2013 г. - декабрь 2015 г.</w:t>
            </w:r>
          </w:p>
        </w:tc>
        <w:tc>
          <w:tcPr>
            <w:tcW w:w="2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Информирование общественности (в том числе и педагогической) о ходе и результатах реализации ФГОС ДО с использованием интернет-ресурсов (официальный сайт Минобрнауки России), педагогических, научно-методических изданий и СМИ</w:t>
            </w:r>
          </w:p>
        </w:tc>
        <w:tc>
          <w:tcPr>
            <w:tcW w:w="19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Подготовка публикаций в СМИ, в том числе электронных, о ходе реализации ФГОС ДО</w:t>
            </w:r>
          </w:p>
        </w:tc>
        <w:tc>
          <w:tcPr>
            <w:tcW w:w="2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  <w:r w:rsidRPr="00812D3C">
              <w:t>Подготовка публикаций в СМИ, в том числе электронных, о ходе реализации ФГОС ДО</w:t>
            </w:r>
          </w:p>
        </w:tc>
        <w:tc>
          <w:tcPr>
            <w:tcW w:w="27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2D3C" w:rsidRPr="00812D3C" w:rsidRDefault="00812D3C">
            <w:pPr>
              <w:pStyle w:val="ConsPlusNormal"/>
            </w:pPr>
          </w:p>
        </w:tc>
      </w:tr>
    </w:tbl>
    <w:p w:rsidR="00812D3C" w:rsidRDefault="00812D3C">
      <w:pPr>
        <w:pStyle w:val="ConsPlusNormal"/>
        <w:jc w:val="both"/>
        <w:sectPr w:rsidR="00812D3C">
          <w:headerReference w:type="default" r:id="rId8"/>
          <w:footerReference w:type="default" r:id="rId9"/>
          <w:pgSz w:w="16838" w:h="11906" w:orient="landscape"/>
          <w:pgMar w:top="1133" w:right="1440" w:bottom="566" w:left="1440" w:header="0" w:footer="0" w:gutter="0"/>
          <w:cols w:space="720"/>
          <w:noEndnote/>
        </w:sectPr>
      </w:pPr>
    </w:p>
    <w:p w:rsidR="00812D3C" w:rsidRDefault="00812D3C">
      <w:pPr>
        <w:pStyle w:val="ConsPlusNormal"/>
        <w:ind w:firstLine="540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right"/>
        <w:outlineLvl w:val="0"/>
      </w:pPr>
      <w:r>
        <w:t>Приложение N 2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center"/>
      </w:pPr>
      <w:bookmarkStart w:id="1" w:name="Par237"/>
      <w:bookmarkEnd w:id="1"/>
      <w:r>
        <w:t>СПИСОК СУБЪЕКТОВ РОССИЙСКОЙ ФЕДЕРАЦИИ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ind w:firstLine="540"/>
        <w:jc w:val="both"/>
      </w:pPr>
      <w:r>
        <w:t>1. Амурская область</w:t>
      </w:r>
    </w:p>
    <w:p w:rsidR="00812D3C" w:rsidRDefault="00812D3C">
      <w:pPr>
        <w:pStyle w:val="ConsPlusNormal"/>
        <w:ind w:firstLine="540"/>
        <w:jc w:val="both"/>
      </w:pPr>
      <w:r>
        <w:t>2. Белгородская область</w:t>
      </w:r>
    </w:p>
    <w:p w:rsidR="00812D3C" w:rsidRDefault="00812D3C">
      <w:pPr>
        <w:pStyle w:val="ConsPlusNormal"/>
        <w:ind w:firstLine="540"/>
        <w:jc w:val="both"/>
      </w:pPr>
      <w:r>
        <w:t>3. Воронежская область</w:t>
      </w:r>
    </w:p>
    <w:p w:rsidR="00812D3C" w:rsidRDefault="00812D3C">
      <w:pPr>
        <w:pStyle w:val="ConsPlusNormal"/>
        <w:ind w:firstLine="540"/>
        <w:jc w:val="both"/>
      </w:pPr>
      <w:r>
        <w:t>4. Ивановская область</w:t>
      </w:r>
    </w:p>
    <w:p w:rsidR="00812D3C" w:rsidRDefault="00812D3C">
      <w:pPr>
        <w:pStyle w:val="ConsPlusNormal"/>
        <w:ind w:firstLine="540"/>
        <w:jc w:val="both"/>
      </w:pPr>
      <w:r>
        <w:t>5. Иркутская область</w:t>
      </w:r>
    </w:p>
    <w:p w:rsidR="00812D3C" w:rsidRDefault="00812D3C">
      <w:pPr>
        <w:pStyle w:val="ConsPlusNormal"/>
        <w:ind w:firstLine="540"/>
        <w:jc w:val="both"/>
      </w:pPr>
      <w:r>
        <w:t>6. Кабардино-Балкарская Республика</w:t>
      </w:r>
    </w:p>
    <w:p w:rsidR="00812D3C" w:rsidRDefault="00812D3C">
      <w:pPr>
        <w:pStyle w:val="ConsPlusNormal"/>
        <w:ind w:firstLine="540"/>
        <w:jc w:val="both"/>
      </w:pPr>
      <w:r>
        <w:t>7. Кемеровская область</w:t>
      </w:r>
    </w:p>
    <w:p w:rsidR="00812D3C" w:rsidRDefault="00812D3C">
      <w:pPr>
        <w:pStyle w:val="ConsPlusNormal"/>
        <w:ind w:firstLine="540"/>
        <w:jc w:val="both"/>
      </w:pPr>
      <w:r>
        <w:t>8. Костромская область</w:t>
      </w:r>
    </w:p>
    <w:p w:rsidR="00812D3C" w:rsidRDefault="00812D3C">
      <w:pPr>
        <w:pStyle w:val="ConsPlusNormal"/>
        <w:ind w:firstLine="540"/>
        <w:jc w:val="both"/>
      </w:pPr>
      <w:r>
        <w:t>9. Красноярский край</w:t>
      </w:r>
    </w:p>
    <w:p w:rsidR="00812D3C" w:rsidRDefault="00812D3C">
      <w:pPr>
        <w:pStyle w:val="ConsPlusNormal"/>
        <w:ind w:firstLine="540"/>
        <w:jc w:val="both"/>
      </w:pPr>
      <w:r>
        <w:t>10. Новгородская область</w:t>
      </w:r>
    </w:p>
    <w:p w:rsidR="00812D3C" w:rsidRDefault="00812D3C">
      <w:pPr>
        <w:pStyle w:val="ConsPlusNormal"/>
        <w:ind w:firstLine="540"/>
        <w:jc w:val="both"/>
      </w:pPr>
      <w:r>
        <w:t>11. Оренбургская область</w:t>
      </w:r>
    </w:p>
    <w:p w:rsidR="00812D3C" w:rsidRDefault="00812D3C">
      <w:pPr>
        <w:pStyle w:val="ConsPlusNormal"/>
        <w:ind w:firstLine="540"/>
        <w:jc w:val="both"/>
      </w:pPr>
      <w:r>
        <w:t>12. Республика Татарстан</w:t>
      </w:r>
    </w:p>
    <w:p w:rsidR="00812D3C" w:rsidRDefault="00812D3C">
      <w:pPr>
        <w:pStyle w:val="ConsPlusNormal"/>
        <w:ind w:firstLine="540"/>
        <w:jc w:val="both"/>
      </w:pPr>
      <w:r>
        <w:t>13. Республика Саха (Якутия)</w:t>
      </w:r>
    </w:p>
    <w:p w:rsidR="00812D3C" w:rsidRDefault="00812D3C">
      <w:pPr>
        <w:pStyle w:val="ConsPlusNormal"/>
        <w:ind w:firstLine="540"/>
        <w:jc w:val="both"/>
      </w:pPr>
      <w:r>
        <w:t>14. Республика Коми</w:t>
      </w:r>
    </w:p>
    <w:p w:rsidR="00812D3C" w:rsidRDefault="00812D3C">
      <w:pPr>
        <w:pStyle w:val="ConsPlusNormal"/>
        <w:ind w:firstLine="540"/>
        <w:jc w:val="both"/>
      </w:pPr>
      <w:r>
        <w:t>15. Ростовская область</w:t>
      </w:r>
    </w:p>
    <w:p w:rsidR="00812D3C" w:rsidRDefault="00812D3C">
      <w:pPr>
        <w:pStyle w:val="ConsPlusNormal"/>
        <w:ind w:firstLine="540"/>
        <w:jc w:val="both"/>
      </w:pPr>
      <w:r>
        <w:t>16. Рязанская область</w:t>
      </w:r>
    </w:p>
    <w:p w:rsidR="00812D3C" w:rsidRDefault="00812D3C">
      <w:pPr>
        <w:pStyle w:val="ConsPlusNormal"/>
        <w:ind w:firstLine="540"/>
        <w:jc w:val="both"/>
      </w:pPr>
      <w:r>
        <w:t>17. Санкт-Петербург</w:t>
      </w:r>
    </w:p>
    <w:p w:rsidR="00812D3C" w:rsidRDefault="00812D3C">
      <w:pPr>
        <w:pStyle w:val="ConsPlusNormal"/>
        <w:ind w:firstLine="540"/>
        <w:jc w:val="both"/>
      </w:pPr>
      <w:r>
        <w:t>18. Смоленская область</w:t>
      </w:r>
    </w:p>
    <w:p w:rsidR="00812D3C" w:rsidRDefault="00812D3C">
      <w:pPr>
        <w:pStyle w:val="ConsPlusNormal"/>
        <w:ind w:firstLine="540"/>
        <w:jc w:val="both"/>
      </w:pPr>
      <w:r>
        <w:t>19. Ставропольский край</w:t>
      </w:r>
    </w:p>
    <w:p w:rsidR="00812D3C" w:rsidRDefault="00812D3C">
      <w:pPr>
        <w:pStyle w:val="ConsPlusNormal"/>
        <w:ind w:firstLine="540"/>
        <w:jc w:val="both"/>
      </w:pPr>
      <w:r>
        <w:t>20. Тюменская область</w:t>
      </w:r>
    </w:p>
    <w:p w:rsidR="00812D3C" w:rsidRDefault="00812D3C">
      <w:pPr>
        <w:pStyle w:val="ConsPlusNormal"/>
        <w:ind w:firstLine="540"/>
        <w:jc w:val="both"/>
      </w:pPr>
      <w:r>
        <w:t>21. Тульская область</w:t>
      </w:r>
    </w:p>
    <w:p w:rsidR="00812D3C" w:rsidRDefault="00812D3C">
      <w:pPr>
        <w:pStyle w:val="ConsPlusNormal"/>
        <w:ind w:firstLine="540"/>
        <w:jc w:val="both"/>
      </w:pPr>
      <w:r>
        <w:t>22. Челябинская область</w:t>
      </w: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jc w:val="both"/>
      </w:pPr>
    </w:p>
    <w:p w:rsidR="00812D3C" w:rsidRDefault="00812D3C">
      <w:pPr>
        <w:pStyle w:val="ConsPlusNormal"/>
        <w:pBdr>
          <w:bottom w:val="single" w:sz="6" w:space="0" w:color="auto"/>
        </w:pBdr>
        <w:rPr>
          <w:sz w:val="5"/>
          <w:szCs w:val="5"/>
        </w:rPr>
      </w:pPr>
    </w:p>
    <w:sectPr w:rsidR="00812D3C">
      <w:headerReference w:type="default" r:id="rId10"/>
      <w:footerReference w:type="default" r:id="rId11"/>
      <w:pgSz w:w="11906" w:h="16838"/>
      <w:pgMar w:top="1440" w:right="566" w:bottom="1440" w:left="1133" w:header="0" w:footer="0" w:gutter="0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935AE" w:rsidRDefault="005935AE">
      <w:pPr>
        <w:spacing w:after="0" w:line="240" w:lineRule="auto"/>
      </w:pPr>
      <w:r>
        <w:separator/>
      </w:r>
    </w:p>
  </w:endnote>
  <w:endnote w:type="continuationSeparator" w:id="1">
    <w:p w:rsidR="005935AE" w:rsidRDefault="005935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D3C" w:rsidRDefault="00812D3C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812D3C" w:rsidRPr="00812D3C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  <w:r w:rsidRPr="00812D3C">
            <w:rPr>
              <w:rFonts w:ascii="Tahoma" w:hAnsi="Tahoma" w:cs="Tahoma"/>
              <w:b/>
              <w:bCs/>
              <w:color w:val="333399"/>
              <w:sz w:val="28"/>
              <w:szCs w:val="28"/>
            </w:rPr>
            <w:t>КонсультантПлюс</w:t>
          </w:r>
          <w:r w:rsidRPr="00812D3C">
            <w:rPr>
              <w:rFonts w:ascii="Tahoma" w:hAnsi="Tahoma" w:cs="Tahoma"/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  <w:r w:rsidRPr="00812D3C">
            <w:rPr>
              <w:rFonts w:ascii="Tahoma" w:hAnsi="Tahoma" w:cs="Tahoma"/>
              <w:b/>
              <w:bCs/>
              <w:color w:val="0000FF"/>
              <w:sz w:val="20"/>
              <w:szCs w:val="20"/>
            </w:rPr>
            <w:t>www.consultant.ru</w:t>
          </w:r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  <w:r w:rsidRPr="00812D3C">
            <w:rPr>
              <w:rFonts w:ascii="Tahoma" w:hAnsi="Tahoma" w:cs="Tahoma"/>
              <w:sz w:val="20"/>
              <w:szCs w:val="20"/>
            </w:rPr>
            <w:t xml:space="preserve">Страница 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begin"/>
          </w:r>
          <w:r w:rsidRPr="00812D3C">
            <w:rPr>
              <w:rFonts w:ascii="Tahoma" w:hAnsi="Tahoma" w:cs="Tahoma"/>
              <w:sz w:val="20"/>
              <w:szCs w:val="20"/>
            </w:rPr>
            <w:instrText>\PAGE</w:instrText>
          </w:r>
          <w:r w:rsidR="003F2520" w:rsidRPr="00812D3C">
            <w:rPr>
              <w:rFonts w:ascii="Tahoma" w:hAnsi="Tahoma" w:cs="Tahoma"/>
              <w:sz w:val="20"/>
              <w:szCs w:val="20"/>
            </w:rPr>
            <w:fldChar w:fldCharType="separate"/>
          </w:r>
          <w:r w:rsidR="00E435EC">
            <w:rPr>
              <w:rFonts w:ascii="Tahoma" w:hAnsi="Tahoma" w:cs="Tahoma"/>
              <w:noProof/>
              <w:sz w:val="20"/>
              <w:szCs w:val="20"/>
            </w:rPr>
            <w:t>1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end"/>
          </w:r>
          <w:r w:rsidRPr="00812D3C">
            <w:rPr>
              <w:rFonts w:ascii="Tahoma" w:hAnsi="Tahoma" w:cs="Tahoma"/>
              <w:sz w:val="20"/>
              <w:szCs w:val="20"/>
            </w:rPr>
            <w:t xml:space="preserve"> из 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begin"/>
          </w:r>
          <w:r w:rsidRPr="00812D3C">
            <w:rPr>
              <w:rFonts w:ascii="Tahoma" w:hAnsi="Tahoma" w:cs="Tahoma"/>
              <w:sz w:val="20"/>
              <w:szCs w:val="20"/>
            </w:rPr>
            <w:instrText>\NUMPAGES</w:instrText>
          </w:r>
          <w:r w:rsidR="003F2520" w:rsidRPr="00812D3C">
            <w:rPr>
              <w:rFonts w:ascii="Tahoma" w:hAnsi="Tahoma" w:cs="Tahoma"/>
              <w:sz w:val="20"/>
              <w:szCs w:val="20"/>
            </w:rPr>
            <w:fldChar w:fldCharType="separate"/>
          </w:r>
          <w:r w:rsidR="00E435EC">
            <w:rPr>
              <w:rFonts w:ascii="Tahoma" w:hAnsi="Tahoma" w:cs="Tahoma"/>
              <w:noProof/>
              <w:sz w:val="20"/>
              <w:szCs w:val="20"/>
            </w:rPr>
            <w:t>12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end"/>
          </w:r>
        </w:p>
      </w:tc>
    </w:tr>
  </w:tbl>
  <w:p w:rsidR="00812D3C" w:rsidRDefault="00812D3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"/>
        <w:szCs w:val="2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D3C" w:rsidRDefault="00812D3C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4571"/>
      <w:gridCol w:w="4856"/>
      <w:gridCol w:w="4571"/>
    </w:tblGrid>
    <w:tr w:rsidR="00812D3C" w:rsidRPr="00812D3C">
      <w:tblPrEx>
        <w:tblCellMar>
          <w:top w:w="0" w:type="dxa"/>
          <w:bottom w:w="0" w:type="dxa"/>
        </w:tblCellMar>
      </w:tblPrEx>
      <w:trPr>
        <w:trHeight w:hRule="exact" w:val="1170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  <w:r w:rsidRPr="00812D3C">
            <w:rPr>
              <w:rFonts w:ascii="Tahoma" w:hAnsi="Tahoma" w:cs="Tahoma"/>
              <w:b/>
              <w:bCs/>
              <w:color w:val="333399"/>
              <w:sz w:val="28"/>
              <w:szCs w:val="28"/>
            </w:rPr>
            <w:t>КонсультантПлюс</w:t>
          </w:r>
          <w:r w:rsidRPr="00812D3C">
            <w:rPr>
              <w:rFonts w:ascii="Tahoma" w:hAnsi="Tahoma" w:cs="Tahoma"/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  <w:r w:rsidRPr="00812D3C">
            <w:rPr>
              <w:rFonts w:ascii="Tahoma" w:hAnsi="Tahoma" w:cs="Tahoma"/>
              <w:b/>
              <w:bCs/>
              <w:color w:val="0000FF"/>
              <w:sz w:val="20"/>
              <w:szCs w:val="20"/>
            </w:rPr>
            <w:t>www.consultant.ru</w:t>
          </w:r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  <w:r w:rsidRPr="00812D3C">
            <w:rPr>
              <w:rFonts w:ascii="Tahoma" w:hAnsi="Tahoma" w:cs="Tahoma"/>
              <w:sz w:val="20"/>
              <w:szCs w:val="20"/>
            </w:rPr>
            <w:t xml:space="preserve">Страница 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begin"/>
          </w:r>
          <w:r w:rsidRPr="00812D3C">
            <w:rPr>
              <w:rFonts w:ascii="Tahoma" w:hAnsi="Tahoma" w:cs="Tahoma"/>
              <w:sz w:val="20"/>
              <w:szCs w:val="20"/>
            </w:rPr>
            <w:instrText>\PAGE</w:instrText>
          </w:r>
          <w:r w:rsidR="003F2520" w:rsidRPr="00812D3C">
            <w:rPr>
              <w:rFonts w:ascii="Tahoma" w:hAnsi="Tahoma" w:cs="Tahoma"/>
              <w:sz w:val="20"/>
              <w:szCs w:val="20"/>
            </w:rPr>
            <w:fldChar w:fldCharType="separate"/>
          </w:r>
          <w:r w:rsidR="00E435EC">
            <w:rPr>
              <w:rFonts w:ascii="Tahoma" w:hAnsi="Tahoma" w:cs="Tahoma"/>
              <w:noProof/>
              <w:sz w:val="20"/>
              <w:szCs w:val="20"/>
            </w:rPr>
            <w:t>5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end"/>
          </w:r>
          <w:r w:rsidRPr="00812D3C">
            <w:rPr>
              <w:rFonts w:ascii="Tahoma" w:hAnsi="Tahoma" w:cs="Tahoma"/>
              <w:sz w:val="20"/>
              <w:szCs w:val="20"/>
            </w:rPr>
            <w:t xml:space="preserve"> из 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begin"/>
          </w:r>
          <w:r w:rsidRPr="00812D3C">
            <w:rPr>
              <w:rFonts w:ascii="Tahoma" w:hAnsi="Tahoma" w:cs="Tahoma"/>
              <w:sz w:val="20"/>
              <w:szCs w:val="20"/>
            </w:rPr>
            <w:instrText>\NUMPAGES</w:instrText>
          </w:r>
          <w:r w:rsidR="003F2520" w:rsidRPr="00812D3C">
            <w:rPr>
              <w:rFonts w:ascii="Tahoma" w:hAnsi="Tahoma" w:cs="Tahoma"/>
              <w:sz w:val="20"/>
              <w:szCs w:val="20"/>
            </w:rPr>
            <w:fldChar w:fldCharType="separate"/>
          </w:r>
          <w:r w:rsidR="00E435EC">
            <w:rPr>
              <w:rFonts w:ascii="Tahoma" w:hAnsi="Tahoma" w:cs="Tahoma"/>
              <w:noProof/>
              <w:sz w:val="20"/>
              <w:szCs w:val="20"/>
            </w:rPr>
            <w:t>12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end"/>
          </w:r>
        </w:p>
      </w:tc>
    </w:tr>
  </w:tbl>
  <w:p w:rsidR="00812D3C" w:rsidRDefault="00812D3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"/>
        <w:szCs w:val="2"/>
      </w:rPr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2D3C" w:rsidRDefault="00812D3C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3346"/>
      <w:gridCol w:w="3555"/>
      <w:gridCol w:w="3346"/>
    </w:tblGrid>
    <w:tr w:rsidR="00812D3C" w:rsidRPr="00812D3C">
      <w:tblPrEx>
        <w:tblCellMar>
          <w:top w:w="0" w:type="dxa"/>
          <w:bottom w:w="0" w:type="dxa"/>
        </w:tblCellMar>
      </w:tblPrEx>
      <w:trPr>
        <w:trHeight w:hRule="exact" w:val="1663"/>
        <w:tblCellSpacing w:w="5" w:type="nil"/>
      </w:trPr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b/>
              <w:bCs/>
              <w:color w:val="333399"/>
              <w:sz w:val="28"/>
              <w:szCs w:val="28"/>
            </w:rPr>
          </w:pPr>
          <w:r w:rsidRPr="00812D3C">
            <w:rPr>
              <w:rFonts w:ascii="Tahoma" w:hAnsi="Tahoma" w:cs="Tahoma"/>
              <w:b/>
              <w:bCs/>
              <w:color w:val="333399"/>
              <w:sz w:val="28"/>
              <w:szCs w:val="28"/>
            </w:rPr>
            <w:t>КонсультантПлюс</w:t>
          </w:r>
          <w:r w:rsidRPr="00812D3C">
            <w:rPr>
              <w:rFonts w:ascii="Tahoma" w:hAnsi="Tahoma" w:cs="Tahoma"/>
              <w:b/>
              <w:bCs/>
              <w:sz w:val="16"/>
              <w:szCs w:val="16"/>
            </w:rPr>
            <w:br/>
            <w:t>надежная правовая поддержка</w:t>
          </w:r>
        </w:p>
      </w:tc>
      <w:tc>
        <w:tcPr>
          <w:tcW w:w="1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ahoma" w:hAnsi="Tahoma" w:cs="Tahoma"/>
              <w:b/>
              <w:bCs/>
              <w:sz w:val="20"/>
              <w:szCs w:val="20"/>
            </w:rPr>
          </w:pPr>
          <w:r w:rsidRPr="00812D3C">
            <w:rPr>
              <w:rFonts w:ascii="Tahoma" w:hAnsi="Tahoma" w:cs="Tahoma"/>
              <w:b/>
              <w:bCs/>
              <w:color w:val="0000FF"/>
              <w:sz w:val="20"/>
              <w:szCs w:val="20"/>
            </w:rPr>
            <w:t>www.consultant.ru</w:t>
          </w:r>
        </w:p>
      </w:tc>
      <w:tc>
        <w:tcPr>
          <w:tcW w:w="16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20"/>
              <w:szCs w:val="20"/>
            </w:rPr>
          </w:pPr>
          <w:r w:rsidRPr="00812D3C">
            <w:rPr>
              <w:rFonts w:ascii="Tahoma" w:hAnsi="Tahoma" w:cs="Tahoma"/>
              <w:sz w:val="20"/>
              <w:szCs w:val="20"/>
            </w:rPr>
            <w:t xml:space="preserve">Страница 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begin"/>
          </w:r>
          <w:r w:rsidRPr="00812D3C">
            <w:rPr>
              <w:rFonts w:ascii="Tahoma" w:hAnsi="Tahoma" w:cs="Tahoma"/>
              <w:sz w:val="20"/>
              <w:szCs w:val="20"/>
            </w:rPr>
            <w:instrText>\PAGE</w:instrText>
          </w:r>
          <w:r w:rsidR="003F2520" w:rsidRPr="00812D3C">
            <w:rPr>
              <w:rFonts w:ascii="Tahoma" w:hAnsi="Tahoma" w:cs="Tahoma"/>
              <w:sz w:val="20"/>
              <w:szCs w:val="20"/>
            </w:rPr>
            <w:fldChar w:fldCharType="separate"/>
          </w:r>
          <w:r w:rsidR="00E435EC">
            <w:rPr>
              <w:rFonts w:ascii="Tahoma" w:hAnsi="Tahoma" w:cs="Tahoma"/>
              <w:noProof/>
              <w:sz w:val="20"/>
              <w:szCs w:val="20"/>
            </w:rPr>
            <w:t>12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end"/>
          </w:r>
          <w:r w:rsidRPr="00812D3C">
            <w:rPr>
              <w:rFonts w:ascii="Tahoma" w:hAnsi="Tahoma" w:cs="Tahoma"/>
              <w:sz w:val="20"/>
              <w:szCs w:val="20"/>
            </w:rPr>
            <w:t xml:space="preserve"> из 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begin"/>
          </w:r>
          <w:r w:rsidRPr="00812D3C">
            <w:rPr>
              <w:rFonts w:ascii="Tahoma" w:hAnsi="Tahoma" w:cs="Tahoma"/>
              <w:sz w:val="20"/>
              <w:szCs w:val="20"/>
            </w:rPr>
            <w:instrText>\NUMPAGES</w:instrText>
          </w:r>
          <w:r w:rsidR="003F2520" w:rsidRPr="00812D3C">
            <w:rPr>
              <w:rFonts w:ascii="Tahoma" w:hAnsi="Tahoma" w:cs="Tahoma"/>
              <w:sz w:val="20"/>
              <w:szCs w:val="20"/>
            </w:rPr>
            <w:fldChar w:fldCharType="separate"/>
          </w:r>
          <w:r w:rsidR="00E435EC">
            <w:rPr>
              <w:rFonts w:ascii="Tahoma" w:hAnsi="Tahoma" w:cs="Tahoma"/>
              <w:noProof/>
              <w:sz w:val="20"/>
              <w:szCs w:val="20"/>
            </w:rPr>
            <w:t>12</w:t>
          </w:r>
          <w:r w:rsidRPr="00812D3C">
            <w:rPr>
              <w:rFonts w:ascii="Tahoma" w:hAnsi="Tahoma" w:cs="Tahoma"/>
              <w:sz w:val="20"/>
              <w:szCs w:val="20"/>
            </w:rPr>
            <w:fldChar w:fldCharType="end"/>
          </w:r>
        </w:p>
      </w:tc>
    </w:tr>
  </w:tbl>
  <w:p w:rsidR="00812D3C" w:rsidRDefault="00812D3C">
    <w:pPr>
      <w:widowControl w:val="0"/>
      <w:autoSpaceDE w:val="0"/>
      <w:autoSpaceDN w:val="0"/>
      <w:adjustRightInd w:val="0"/>
      <w:spacing w:after="0" w:line="240" w:lineRule="auto"/>
      <w:rPr>
        <w:rFonts w:ascii="Times New Roman" w:hAnsi="Times New Roman"/>
        <w:sz w:val="2"/>
        <w:szCs w:val="2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935AE" w:rsidRDefault="005935AE">
      <w:pPr>
        <w:spacing w:after="0" w:line="240" w:lineRule="auto"/>
      </w:pPr>
      <w:r>
        <w:separator/>
      </w:r>
    </w:p>
  </w:footnote>
  <w:footnote w:type="continuationSeparator" w:id="1">
    <w:p w:rsidR="005935AE" w:rsidRDefault="005935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812D3C" w:rsidRPr="00812D3C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sz w:val="16"/>
              <w:szCs w:val="16"/>
            </w:rPr>
          </w:pPr>
          <w:r w:rsidRPr="00812D3C">
            <w:rPr>
              <w:rFonts w:ascii="Tahoma" w:hAnsi="Tahoma" w:cs="Tahoma"/>
              <w:sz w:val="16"/>
              <w:szCs w:val="16"/>
            </w:rPr>
            <w:t>&lt;Письмо&gt; Минобрнауки России от 10.01.2014 N 08-10</w:t>
          </w:r>
          <w:r w:rsidRPr="00812D3C">
            <w:rPr>
              <w:rFonts w:ascii="Tahoma" w:hAnsi="Tahoma" w:cs="Tahoma"/>
              <w:sz w:val="16"/>
              <w:szCs w:val="16"/>
            </w:rPr>
            <w:br/>
            <w:t>&lt;О необходимости проведения ряда мероприятий по обеспечению введения Федерального государственного образовательного стандарта дошкольного образования&gt;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16"/>
              <w:szCs w:val="16"/>
            </w:rPr>
          </w:pPr>
          <w:r w:rsidRPr="00812D3C">
            <w:rPr>
              <w:rFonts w:ascii="Tahoma" w:hAnsi="Tahoma" w:cs="Tahoma"/>
              <w:sz w:val="18"/>
              <w:szCs w:val="18"/>
            </w:rPr>
            <w:t xml:space="preserve">Документ предоставлен </w:t>
          </w:r>
          <w:r w:rsidRPr="00812D3C">
            <w:rPr>
              <w:rFonts w:ascii="Tahoma" w:hAnsi="Tahoma" w:cs="Tahoma"/>
              <w:color w:val="0000FF"/>
              <w:sz w:val="18"/>
              <w:szCs w:val="18"/>
            </w:rPr>
            <w:t>КонсультантПлюс</w:t>
          </w:r>
          <w:r w:rsidRPr="00812D3C">
            <w:rPr>
              <w:rFonts w:ascii="Tahoma" w:hAnsi="Tahoma" w:cs="Tahoma"/>
              <w:sz w:val="18"/>
              <w:szCs w:val="18"/>
            </w:rPr>
            <w:br/>
          </w:r>
          <w:r w:rsidRPr="00812D3C">
            <w:rPr>
              <w:rFonts w:ascii="Tahoma" w:hAnsi="Tahoma" w:cs="Tahoma"/>
              <w:sz w:val="16"/>
              <w:szCs w:val="16"/>
            </w:rPr>
            <w:t>Дата сохранения: 22.04.2014</w:t>
          </w:r>
        </w:p>
      </w:tc>
    </w:tr>
  </w:tbl>
  <w:p w:rsidR="00812D3C" w:rsidRDefault="00812D3C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p w:rsidR="00812D3C" w:rsidRDefault="00812D3C">
    <w:r>
      <w:rPr>
        <w:rFonts w:ascii="Times New Roman" w:hAnsi="Times New Roman"/>
        <w:sz w:val="10"/>
        <w:szCs w:val="10"/>
      </w:rPr>
      <w:t xml:space="preserve"> 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7713"/>
      <w:gridCol w:w="571"/>
      <w:gridCol w:w="5714"/>
    </w:tblGrid>
    <w:tr w:rsidR="00812D3C" w:rsidRPr="00812D3C">
      <w:tblPrEx>
        <w:tblCellMar>
          <w:top w:w="0" w:type="dxa"/>
          <w:bottom w:w="0" w:type="dxa"/>
        </w:tblCellMar>
      </w:tblPrEx>
      <w:trPr>
        <w:trHeight w:hRule="exact" w:val="1190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sz w:val="16"/>
              <w:szCs w:val="16"/>
            </w:rPr>
          </w:pPr>
          <w:r w:rsidRPr="00812D3C">
            <w:rPr>
              <w:rFonts w:ascii="Tahoma" w:hAnsi="Tahoma" w:cs="Tahoma"/>
              <w:sz w:val="16"/>
              <w:szCs w:val="16"/>
            </w:rPr>
            <w:t>&lt;Письмо&gt; Минобрнауки России от 10.01.2014 N 08-10</w:t>
          </w:r>
          <w:r w:rsidRPr="00812D3C">
            <w:rPr>
              <w:rFonts w:ascii="Tahoma" w:hAnsi="Tahoma" w:cs="Tahoma"/>
              <w:sz w:val="16"/>
              <w:szCs w:val="16"/>
            </w:rPr>
            <w:br/>
            <w:t>&lt;О необходимости проведения ряда мероприятий по обеспечению введения Федерального государственного образовательного стандарта дошкольного образования&gt;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16"/>
              <w:szCs w:val="16"/>
            </w:rPr>
          </w:pPr>
          <w:r w:rsidRPr="00812D3C">
            <w:rPr>
              <w:rFonts w:ascii="Tahoma" w:hAnsi="Tahoma" w:cs="Tahoma"/>
              <w:sz w:val="18"/>
              <w:szCs w:val="18"/>
            </w:rPr>
            <w:t xml:space="preserve">Документ предоставлен </w:t>
          </w:r>
          <w:r w:rsidRPr="00812D3C">
            <w:rPr>
              <w:rFonts w:ascii="Tahoma" w:hAnsi="Tahoma" w:cs="Tahoma"/>
              <w:color w:val="0000FF"/>
              <w:sz w:val="18"/>
              <w:szCs w:val="18"/>
            </w:rPr>
            <w:t>КонсультантПлюс</w:t>
          </w:r>
          <w:r w:rsidRPr="00812D3C">
            <w:rPr>
              <w:rFonts w:ascii="Tahoma" w:hAnsi="Tahoma" w:cs="Tahoma"/>
              <w:sz w:val="18"/>
              <w:szCs w:val="18"/>
            </w:rPr>
            <w:br/>
          </w:r>
          <w:r w:rsidRPr="00812D3C">
            <w:rPr>
              <w:rFonts w:ascii="Tahoma" w:hAnsi="Tahoma" w:cs="Tahoma"/>
              <w:sz w:val="16"/>
              <w:szCs w:val="16"/>
            </w:rPr>
            <w:t>Дата сохранения: 22.04.2014</w:t>
          </w:r>
        </w:p>
      </w:tc>
    </w:tr>
  </w:tbl>
  <w:p w:rsidR="00812D3C" w:rsidRDefault="00812D3C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p w:rsidR="00812D3C" w:rsidRDefault="00812D3C">
    <w:r>
      <w:rPr>
        <w:rFonts w:ascii="Times New Roman" w:hAnsi="Times New Roman"/>
        <w:sz w:val="10"/>
        <w:szCs w:val="10"/>
      </w:rPr>
      <w:t xml:space="preserve"> </w: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CellSpacing w:w="5" w:type="nil"/>
      <w:tblInd w:w="40" w:type="dxa"/>
      <w:tblCellMar>
        <w:left w:w="40" w:type="dxa"/>
        <w:right w:w="40" w:type="dxa"/>
      </w:tblCellMar>
      <w:tblLook w:val="0000"/>
    </w:tblPr>
    <w:tblGrid>
      <w:gridCol w:w="5646"/>
      <w:gridCol w:w="418"/>
      <w:gridCol w:w="4183"/>
    </w:tblGrid>
    <w:tr w:rsidR="00812D3C" w:rsidRPr="00812D3C">
      <w:tblPrEx>
        <w:tblCellMar>
          <w:top w:w="0" w:type="dxa"/>
          <w:bottom w:w="0" w:type="dxa"/>
        </w:tblCellMar>
      </w:tblPrEx>
      <w:trPr>
        <w:trHeight w:hRule="exact" w:val="1683"/>
        <w:tblCellSpacing w:w="5" w:type="nil"/>
      </w:trPr>
      <w:tc>
        <w:tcPr>
          <w:tcW w:w="27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rPr>
              <w:rFonts w:ascii="Tahoma" w:hAnsi="Tahoma" w:cs="Tahoma"/>
              <w:sz w:val="16"/>
              <w:szCs w:val="16"/>
            </w:rPr>
          </w:pPr>
          <w:r w:rsidRPr="00812D3C">
            <w:rPr>
              <w:rFonts w:ascii="Tahoma" w:hAnsi="Tahoma" w:cs="Tahoma"/>
              <w:sz w:val="16"/>
              <w:szCs w:val="16"/>
            </w:rPr>
            <w:t>&lt;Письмо&gt; Минобрнауки России от 10.01.2014 N 08-10</w:t>
          </w:r>
          <w:r w:rsidRPr="00812D3C">
            <w:rPr>
              <w:rFonts w:ascii="Tahoma" w:hAnsi="Tahoma" w:cs="Tahoma"/>
              <w:sz w:val="16"/>
              <w:szCs w:val="16"/>
            </w:rPr>
            <w:br/>
            <w:t>&lt;О необходимости проведения ряда мероприятий по обеспечению введения Федерального государственного образовательного стандарта дошкольного образования&gt;</w:t>
          </w:r>
        </w:p>
      </w:tc>
      <w:tc>
        <w:tcPr>
          <w:tcW w:w="2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center"/>
            <w:rPr>
              <w:rFonts w:ascii="Times New Roman" w:hAnsi="Times New Roman"/>
              <w:sz w:val="24"/>
              <w:szCs w:val="24"/>
            </w:rPr>
          </w:pPr>
        </w:p>
      </w:tc>
      <w:tc>
        <w:tcPr>
          <w:tcW w:w="20" w:type="pct"/>
          <w:tcBorders>
            <w:top w:val="none" w:sz="2" w:space="0" w:color="auto"/>
            <w:left w:val="none" w:sz="2" w:space="0" w:color="auto"/>
            <w:bottom w:val="none" w:sz="2" w:space="0" w:color="auto"/>
            <w:right w:val="none" w:sz="2" w:space="0" w:color="auto"/>
          </w:tcBorders>
          <w:vAlign w:val="center"/>
        </w:tcPr>
        <w:p w:rsidR="00812D3C" w:rsidRPr="00812D3C" w:rsidRDefault="00812D3C">
          <w:pPr>
            <w:widowControl w:val="0"/>
            <w:autoSpaceDE w:val="0"/>
            <w:autoSpaceDN w:val="0"/>
            <w:adjustRightInd w:val="0"/>
            <w:spacing w:after="0" w:line="240" w:lineRule="auto"/>
            <w:jc w:val="right"/>
            <w:rPr>
              <w:rFonts w:ascii="Tahoma" w:hAnsi="Tahoma" w:cs="Tahoma"/>
              <w:sz w:val="16"/>
              <w:szCs w:val="16"/>
            </w:rPr>
          </w:pPr>
          <w:r w:rsidRPr="00812D3C">
            <w:rPr>
              <w:rFonts w:ascii="Tahoma" w:hAnsi="Tahoma" w:cs="Tahoma"/>
              <w:sz w:val="18"/>
              <w:szCs w:val="18"/>
            </w:rPr>
            <w:t xml:space="preserve">Документ предоставлен </w:t>
          </w:r>
          <w:r w:rsidRPr="00812D3C">
            <w:rPr>
              <w:rFonts w:ascii="Tahoma" w:hAnsi="Tahoma" w:cs="Tahoma"/>
              <w:color w:val="0000FF"/>
              <w:sz w:val="18"/>
              <w:szCs w:val="18"/>
            </w:rPr>
            <w:t>КонсультантПлюс</w:t>
          </w:r>
          <w:r w:rsidRPr="00812D3C">
            <w:rPr>
              <w:rFonts w:ascii="Tahoma" w:hAnsi="Tahoma" w:cs="Tahoma"/>
              <w:sz w:val="18"/>
              <w:szCs w:val="18"/>
            </w:rPr>
            <w:br/>
          </w:r>
          <w:r w:rsidRPr="00812D3C">
            <w:rPr>
              <w:rFonts w:ascii="Tahoma" w:hAnsi="Tahoma" w:cs="Tahoma"/>
              <w:sz w:val="16"/>
              <w:szCs w:val="16"/>
            </w:rPr>
            <w:t>Дата сохранения: 22.04.2014</w:t>
          </w:r>
        </w:p>
      </w:tc>
    </w:tr>
  </w:tbl>
  <w:p w:rsidR="00812D3C" w:rsidRDefault="00812D3C">
    <w:pPr>
      <w:widowControl w:val="0"/>
      <w:pBdr>
        <w:bottom w:val="single" w:sz="12" w:space="0" w:color="auto"/>
      </w:pBdr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"/>
        <w:szCs w:val="2"/>
      </w:rPr>
    </w:pPr>
  </w:p>
  <w:p w:rsidR="00812D3C" w:rsidRDefault="00812D3C">
    <w:r>
      <w:rPr>
        <w:rFonts w:ascii="Times New Roman" w:hAnsi="Times New Roman"/>
        <w:sz w:val="10"/>
        <w:szCs w:val="10"/>
      </w:rPr>
      <w:t xml:space="preserve">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writeProtection w:recommended="1"/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adjustLineHeightInTable/>
  </w:compat>
  <w:rsids>
    <w:rsidRoot w:val="003F2520"/>
    <w:rsid w:val="003F2520"/>
    <w:rsid w:val="005935AE"/>
    <w:rsid w:val="00812D3C"/>
    <w:rsid w:val="00E435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  <w:adjustRightInd w:val="0"/>
    </w:pPr>
    <w:rPr>
      <w:rFonts w:ascii="Arial" w:hAnsi="Arial" w:cs="Arial"/>
    </w:rPr>
  </w:style>
  <w:style w:type="paragraph" w:customStyle="1" w:styleId="ConsPlusNonformat">
    <w:name w:val="ConsPlusNonformat"/>
    <w:uiPriority w:val="99"/>
    <w:pPr>
      <w:widowControl w:val="0"/>
      <w:autoSpaceDE w:val="0"/>
      <w:autoSpaceDN w:val="0"/>
      <w:adjustRightInd w:val="0"/>
    </w:pPr>
    <w:rPr>
      <w:rFonts w:ascii="Courier New" w:hAnsi="Courier New" w:cs="Courier New"/>
    </w:rPr>
  </w:style>
  <w:style w:type="paragraph" w:customStyle="1" w:styleId="ConsPlusTitle">
    <w:name w:val="ConsPlusTitle"/>
    <w:uiPriority w:val="99"/>
    <w:pPr>
      <w:widowControl w:val="0"/>
      <w:autoSpaceDE w:val="0"/>
      <w:autoSpaceDN w:val="0"/>
      <w:adjustRightInd w:val="0"/>
    </w:pPr>
    <w:rPr>
      <w:rFonts w:ascii="Arial" w:hAnsi="Arial" w:cs="Arial"/>
      <w:b/>
      <w:bCs/>
    </w:rPr>
  </w:style>
  <w:style w:type="paragraph" w:customStyle="1" w:styleId="ConsPlusCell">
    <w:name w:val="ConsPlusCell"/>
    <w:uiPriority w:val="99"/>
    <w:pPr>
      <w:widowControl w:val="0"/>
      <w:autoSpaceDE w:val="0"/>
      <w:autoSpaceDN w:val="0"/>
      <w:adjustRightInd w:val="0"/>
    </w:pPr>
    <w:rPr>
      <w:rFonts w:ascii="Arial" w:hAnsi="Arial" w:cs="Arial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2822</Words>
  <Characters>16090</Characters>
  <Application>Microsoft Office Word</Application>
  <DocSecurity>2</DocSecurity>
  <Lines>134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&lt;Письмо&gt; Минобрнауки России от 10.01.2014 N 08-10&lt;О необходимости проведения ряда мероприятий по обеспечению введения Федерального государственного образовательного стандарта дошкольного образования&gt;</vt:lpstr>
    </vt:vector>
  </TitlesOfParts>
  <Company/>
  <LinksUpToDate>false</LinksUpToDate>
  <CharactersWithSpaces>18875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&lt;Письмо&gt; Минобрнауки России от 10.01.2014 N 08-10&lt;О необходимости проведения ряда мероприятий по обеспечению введения Федерального государственного образовательного стандарта дошкольного образования&gt;</dc:title>
  <dc:subject/>
  <dc:creator>ConsultantPlus</dc:creator>
  <cp:keywords/>
  <cp:lastModifiedBy>Admin</cp:lastModifiedBy>
  <cp:revision>2</cp:revision>
  <dcterms:created xsi:type="dcterms:W3CDTF">2018-11-02T17:46:00Z</dcterms:created>
  <dcterms:modified xsi:type="dcterms:W3CDTF">2018-11-02T17:46:00Z</dcterms:modified>
</cp:coreProperties>
</file>